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51DF" w:rsidRDefault="001F51DF">
      <w:pPr>
        <w:pStyle w:val="ConsPlusNormal0"/>
        <w:jc w:val="both"/>
      </w:pPr>
    </w:p>
    <w:p w:rsidR="001F51DF" w:rsidRDefault="002B3402">
      <w:pPr>
        <w:pStyle w:val="ConsPlusNormal0"/>
        <w:jc w:val="center"/>
        <w:rPr>
          <w:color w:val="000000" w:themeColor="text1"/>
          <w:sz w:val="23"/>
          <w:szCs w:val="23"/>
        </w:rPr>
      </w:pPr>
      <w:r>
        <w:rPr>
          <w:b/>
          <w:color w:val="000000" w:themeColor="text1"/>
          <w:sz w:val="23"/>
          <w:szCs w:val="23"/>
        </w:rPr>
        <w:t>Договор N ___</w:t>
      </w:r>
    </w:p>
    <w:p w:rsidR="001F51DF" w:rsidRDefault="002B3402">
      <w:pPr>
        <w:pStyle w:val="ConsPlusNormal0"/>
        <w:jc w:val="center"/>
        <w:rPr>
          <w:color w:val="000000" w:themeColor="text1"/>
          <w:sz w:val="23"/>
          <w:szCs w:val="23"/>
        </w:rPr>
      </w:pPr>
      <w:r>
        <w:rPr>
          <w:b/>
          <w:color w:val="000000" w:themeColor="text1"/>
          <w:sz w:val="23"/>
          <w:szCs w:val="23"/>
        </w:rPr>
        <w:t>подряда на выполнение работ</w:t>
      </w:r>
    </w:p>
    <w:p w:rsidR="001F51DF" w:rsidRDefault="002B3402">
      <w:pPr>
        <w:pStyle w:val="ConsPlusNormal0"/>
        <w:jc w:val="center"/>
        <w:rPr>
          <w:color w:val="000000" w:themeColor="text1"/>
          <w:sz w:val="23"/>
          <w:szCs w:val="23"/>
        </w:rPr>
      </w:pPr>
      <w:r>
        <w:rPr>
          <w:b/>
          <w:color w:val="000000" w:themeColor="text1"/>
          <w:sz w:val="23"/>
          <w:szCs w:val="23"/>
        </w:rPr>
        <w:t>по капитальному ремонту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5104"/>
      </w:tblGrid>
      <w:tr w:rsidR="001F51DF">
        <w:tc>
          <w:tcPr>
            <w:tcW w:w="51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F51DF" w:rsidRDefault="002B3402">
            <w:pPr>
              <w:pStyle w:val="ConsPlusNormal0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г. _______________</w:t>
            </w:r>
          </w:p>
        </w:tc>
        <w:tc>
          <w:tcPr>
            <w:tcW w:w="51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F51DF" w:rsidRDefault="002B3402">
            <w:pPr>
              <w:pStyle w:val="ConsPlusNormal0"/>
              <w:jc w:val="right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"___"________ ____ г.</w:t>
            </w:r>
          </w:p>
        </w:tc>
      </w:tr>
      <w:tr w:rsidR="001F51DF">
        <w:tc>
          <w:tcPr>
            <w:tcW w:w="51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F51DF" w:rsidRDefault="001F51DF">
            <w:pPr>
              <w:pStyle w:val="ConsPlusNormal0"/>
              <w:rPr>
                <w:color w:val="000000" w:themeColor="text1"/>
                <w:sz w:val="23"/>
                <w:szCs w:val="23"/>
              </w:rPr>
            </w:pPr>
          </w:p>
        </w:tc>
        <w:tc>
          <w:tcPr>
            <w:tcW w:w="510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F51DF" w:rsidRDefault="001F51DF">
            <w:pPr>
              <w:pStyle w:val="ConsPlusNormal0"/>
              <w:jc w:val="right"/>
              <w:rPr>
                <w:color w:val="000000" w:themeColor="text1"/>
                <w:sz w:val="23"/>
                <w:szCs w:val="23"/>
              </w:rPr>
            </w:pPr>
          </w:p>
        </w:tc>
      </w:tr>
    </w:tbl>
    <w:p w:rsidR="00F80747" w:rsidRPr="00F80747" w:rsidRDefault="00F80747" w:rsidP="00F80747">
      <w:pPr>
        <w:tabs>
          <w:tab w:val="left" w:pos="0"/>
        </w:tabs>
        <w:ind w:firstLine="709"/>
        <w:jc w:val="both"/>
        <w:rPr>
          <w:b/>
          <w:sz w:val="22"/>
          <w:szCs w:val="22"/>
        </w:rPr>
      </w:pPr>
      <w:r w:rsidRPr="00F80747">
        <w:rPr>
          <w:b/>
          <w:sz w:val="22"/>
          <w:szCs w:val="22"/>
        </w:rPr>
        <w:t>Общество с ограниченной ответственностью «Сибирские электросети»</w:t>
      </w:r>
      <w:r>
        <w:rPr>
          <w:b/>
          <w:sz w:val="22"/>
          <w:szCs w:val="22"/>
        </w:rPr>
        <w:t xml:space="preserve"> </w:t>
      </w:r>
      <w:r w:rsidRPr="00F80747">
        <w:rPr>
          <w:b/>
          <w:sz w:val="22"/>
          <w:szCs w:val="22"/>
        </w:rPr>
        <w:t xml:space="preserve">(ООО «СИБЭЛС»), </w:t>
      </w:r>
      <w:r w:rsidRPr="00F80747">
        <w:rPr>
          <w:sz w:val="22"/>
          <w:szCs w:val="22"/>
        </w:rPr>
        <w:t>именуемое в дальнейшем</w:t>
      </w:r>
      <w:r w:rsidRPr="00F80747">
        <w:rPr>
          <w:b/>
          <w:sz w:val="22"/>
          <w:szCs w:val="22"/>
        </w:rPr>
        <w:t xml:space="preserve"> «Заказчик», </w:t>
      </w:r>
      <w:r w:rsidRPr="00F80747">
        <w:rPr>
          <w:sz w:val="22"/>
          <w:szCs w:val="22"/>
        </w:rPr>
        <w:t xml:space="preserve">в лице Генерального директора </w:t>
      </w:r>
      <w:proofErr w:type="spellStart"/>
      <w:r w:rsidRPr="00F80747">
        <w:rPr>
          <w:sz w:val="22"/>
          <w:szCs w:val="22"/>
        </w:rPr>
        <w:t>Геворковой</w:t>
      </w:r>
      <w:proofErr w:type="spellEnd"/>
      <w:r w:rsidRPr="00F80747">
        <w:rPr>
          <w:sz w:val="22"/>
          <w:szCs w:val="22"/>
        </w:rPr>
        <w:t xml:space="preserve"> Дали </w:t>
      </w:r>
      <w:proofErr w:type="spellStart"/>
      <w:r w:rsidRPr="00F80747">
        <w:rPr>
          <w:sz w:val="22"/>
          <w:szCs w:val="22"/>
        </w:rPr>
        <w:t>Роландовны</w:t>
      </w:r>
      <w:proofErr w:type="spellEnd"/>
      <w:r w:rsidRPr="00F80747">
        <w:rPr>
          <w:sz w:val="22"/>
          <w:szCs w:val="22"/>
        </w:rPr>
        <w:t>, действующего на основании Устава, с одной стороны, и</w:t>
      </w:r>
    </w:p>
    <w:p w:rsidR="00F80747" w:rsidRPr="00F80747" w:rsidRDefault="00F80747" w:rsidP="00F80747">
      <w:pPr>
        <w:tabs>
          <w:tab w:val="left" w:pos="0"/>
        </w:tabs>
        <w:ind w:firstLine="709"/>
        <w:jc w:val="both"/>
        <w:rPr>
          <w:sz w:val="22"/>
          <w:szCs w:val="22"/>
        </w:rPr>
      </w:pPr>
      <w:r w:rsidRPr="00F80747">
        <w:rPr>
          <w:b/>
          <w:sz w:val="22"/>
          <w:szCs w:val="22"/>
        </w:rPr>
        <w:t xml:space="preserve">_____________________, </w:t>
      </w:r>
      <w:r w:rsidRPr="00F80747">
        <w:rPr>
          <w:sz w:val="22"/>
          <w:szCs w:val="22"/>
        </w:rPr>
        <w:t xml:space="preserve">именуемое в дальнейшем </w:t>
      </w:r>
      <w:r w:rsidRPr="00F80747">
        <w:rPr>
          <w:b/>
          <w:bCs/>
          <w:sz w:val="22"/>
          <w:szCs w:val="22"/>
        </w:rPr>
        <w:t>«Подрядчик»</w:t>
      </w:r>
      <w:r w:rsidRPr="00F80747">
        <w:rPr>
          <w:sz w:val="22"/>
          <w:szCs w:val="22"/>
        </w:rPr>
        <w:t>, в лице ___________________, действующего на основании __________, с другой стороны, совместно именуемые – «Стороны», на основании решения конкурсной комиссии (протокол № ___ от «___» ______ 2026 года), заключили настоящий договор о нижеследующем: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jc w:val="center"/>
        <w:outlineLvl w:val="0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1. Предмет Договора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ind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1.1. Заказчик поручает, а Подрядчик принимает на себя обязательства по выполнению работ по капитальному ремонту трансформаторной подстанции (ТП-3082), расположенной по адресу: г. Новосибирск, ул. Беловежская, 6/1 (далее – Объект), получившей дефекты в результате дорожно-транспортного происшествия,  произошедшего 20.06.2025 г., для восстановления исправности и полного или близкого к полному ресурса Объекта с заменой или восстановлением любых его частей и определения возможности и условий дальнейшей эксплуатации для обеспечения бесперебойной работы электроустановок Заказчика и выполнения требований нормативно-технической документации, в соответствии с </w:t>
      </w:r>
      <w:hyperlink r:id="rId7" w:tooltip="Форма: Техническое задание (приложение к договору подряда на выполнение работ по ремонту крыши (кровли)) (Подготовлен для системы КонсультантПлюс, 2026) {КонсультантПлюс}" w:history="1">
        <w:r>
          <w:rPr>
            <w:color w:val="000000" w:themeColor="text1"/>
            <w:sz w:val="23"/>
            <w:szCs w:val="23"/>
          </w:rPr>
          <w:t>Техническим заданием</w:t>
        </w:r>
      </w:hyperlink>
      <w:r>
        <w:rPr>
          <w:color w:val="000000" w:themeColor="text1"/>
          <w:sz w:val="23"/>
          <w:szCs w:val="23"/>
        </w:rPr>
        <w:t xml:space="preserve"> (Приложение N 1), прилагаемым к настоящему Договору (далее - Работы).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bookmarkStart w:id="0" w:name="P20"/>
      <w:bookmarkEnd w:id="0"/>
      <w:r w:rsidRPr="00A00682">
        <w:rPr>
          <w:color w:val="000000" w:themeColor="text1"/>
          <w:sz w:val="23"/>
          <w:szCs w:val="23"/>
        </w:rPr>
        <w:t>1.2. Общая цена Работ по настоящему Договору составляет ____ (________) рублей, в том числе НДС _______%.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1.3. Указанная в </w:t>
      </w:r>
      <w:hyperlink w:anchor="P20" w:tooltip="1.2. Общая цена Работ по настоящему Договору составляет ____ (________) рублей, в том числе НДС _______%." w:history="1">
        <w:r>
          <w:rPr>
            <w:color w:val="000000" w:themeColor="text1"/>
            <w:sz w:val="23"/>
            <w:szCs w:val="23"/>
          </w:rPr>
          <w:t>п. 1.2</w:t>
        </w:r>
      </w:hyperlink>
      <w:r>
        <w:rPr>
          <w:color w:val="000000" w:themeColor="text1"/>
          <w:sz w:val="23"/>
          <w:szCs w:val="23"/>
        </w:rPr>
        <w:t xml:space="preserve"> настоящего Договора стоимость Работ увеличению не подлежит. Риски удорожания материалов, ресурсов несет Подрядчик.</w:t>
      </w:r>
    </w:p>
    <w:p w:rsidR="001F51DF" w:rsidRDefault="002B3402">
      <w:pPr>
        <w:pStyle w:val="ConsPlusNormal0"/>
        <w:spacing w:before="30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1.</w:t>
      </w:r>
      <w:r w:rsidR="00A00682">
        <w:rPr>
          <w:color w:val="000000" w:themeColor="text1"/>
          <w:sz w:val="23"/>
          <w:szCs w:val="23"/>
        </w:rPr>
        <w:t>4</w:t>
      </w:r>
      <w:r>
        <w:rPr>
          <w:color w:val="000000" w:themeColor="text1"/>
          <w:sz w:val="23"/>
          <w:szCs w:val="23"/>
        </w:rPr>
        <w:t xml:space="preserve">. В счет стоимости Работ в пределах суммы, указанной в </w:t>
      </w:r>
      <w:hyperlink w:anchor="P20" w:tooltip="1.2. Общая цена Работ по настоящему Договору составляет ____ (________) рублей, в том числе НДС _______%." w:history="1">
        <w:r>
          <w:rPr>
            <w:color w:val="000000" w:themeColor="text1"/>
            <w:sz w:val="23"/>
            <w:szCs w:val="23"/>
          </w:rPr>
          <w:t>п. 1.2</w:t>
        </w:r>
      </w:hyperlink>
      <w:r>
        <w:rPr>
          <w:color w:val="000000" w:themeColor="text1"/>
          <w:sz w:val="23"/>
          <w:szCs w:val="23"/>
        </w:rPr>
        <w:t xml:space="preserve"> настоящего Договора, Подрядчик берет на себя обязательство перед Заказчиком из своих материалов, своими силами и средствами выполнить Работы в соответствии с Договором, устранить все недостатки и передать результаты выполненных Работ Заказчику.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1.</w:t>
      </w:r>
      <w:r w:rsidR="00A00682">
        <w:rPr>
          <w:color w:val="000000" w:themeColor="text1"/>
          <w:sz w:val="23"/>
          <w:szCs w:val="23"/>
        </w:rPr>
        <w:t>5</w:t>
      </w:r>
      <w:r>
        <w:rPr>
          <w:color w:val="000000" w:themeColor="text1"/>
          <w:sz w:val="23"/>
          <w:szCs w:val="23"/>
        </w:rPr>
        <w:t xml:space="preserve">. Заказчик берет на себя обязательство уплатить Подрядчику за выполнение Работ сумму, равную их стоимости, определенной в соответствии с Договором, в пределах суммы, указанной в </w:t>
      </w:r>
      <w:hyperlink w:anchor="P20" w:tooltip="1.2. Общая цена Работ по настоящему Договору составляет ____ (________) рублей, в том числе НДС _______%." w:history="1">
        <w:r>
          <w:rPr>
            <w:color w:val="000000" w:themeColor="text1"/>
            <w:sz w:val="23"/>
            <w:szCs w:val="23"/>
          </w:rPr>
          <w:t>п. 1.2</w:t>
        </w:r>
      </w:hyperlink>
      <w:r>
        <w:rPr>
          <w:color w:val="000000" w:themeColor="text1"/>
          <w:sz w:val="23"/>
          <w:szCs w:val="23"/>
        </w:rPr>
        <w:t xml:space="preserve"> настоящего Договора, в сроки и в порядке, которые определены настоящим Договором.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jc w:val="center"/>
        <w:outlineLvl w:val="0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2. Порядок оплаты Работ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2.5. Расчет с Подрядчиком осуществляется в течение 30 календарных дней после завершения Работ по настоящему Договору и подписания Сторонами </w:t>
      </w:r>
      <w:hyperlink r:id="rId8" w:tooltip="Форма: Акт приема-передачи выполненных работ по капитальному ремонту (общая форма) (Подготовлен для системы КонсультантПлюс, 2026) {КонсультантПлюс}" w:history="1">
        <w:r>
          <w:rPr>
            <w:color w:val="000000" w:themeColor="text1"/>
            <w:sz w:val="23"/>
            <w:szCs w:val="23"/>
          </w:rPr>
          <w:t>Акта</w:t>
        </w:r>
      </w:hyperlink>
      <w:r>
        <w:rPr>
          <w:color w:val="000000" w:themeColor="text1"/>
          <w:sz w:val="23"/>
          <w:szCs w:val="23"/>
        </w:rPr>
        <w:t xml:space="preserve"> выполненных работ.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jc w:val="center"/>
        <w:outlineLvl w:val="0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3. Срок выполнения Работ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ind w:firstLine="540"/>
        <w:jc w:val="both"/>
        <w:rPr>
          <w:color w:val="000000" w:themeColor="text1"/>
          <w:sz w:val="23"/>
          <w:szCs w:val="23"/>
        </w:rPr>
      </w:pPr>
      <w:bookmarkStart w:id="1" w:name="P41"/>
      <w:bookmarkEnd w:id="1"/>
      <w:r>
        <w:rPr>
          <w:color w:val="000000" w:themeColor="text1"/>
          <w:sz w:val="23"/>
          <w:szCs w:val="23"/>
        </w:rPr>
        <w:t>3.1. Срок начала Работ: в течение 5 рабочих дней с момента подписания настоящего Договора.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 w:rsidRPr="00A00682">
        <w:rPr>
          <w:color w:val="000000" w:themeColor="text1"/>
          <w:sz w:val="23"/>
          <w:szCs w:val="23"/>
        </w:rPr>
        <w:t>3.2. Срок окончания Работ: не позднее 31.10.2026 г.</w:t>
      </w:r>
      <w:bookmarkStart w:id="2" w:name="_GoBack"/>
      <w:bookmarkEnd w:id="2"/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lastRenderedPageBreak/>
        <w:t xml:space="preserve">3.3. Фактической датой окончания Работ является дата подписания Сторонами соответствующего </w:t>
      </w:r>
      <w:hyperlink r:id="rId9" w:tooltip="Форма: Акт приема-передачи выполненных работ по капитальному ремонту (общая форма) (Подготовлен для системы КонсультантПлюс, 2026) {КонсультантПлюс}" w:history="1">
        <w:r>
          <w:rPr>
            <w:color w:val="000000" w:themeColor="text1"/>
            <w:sz w:val="23"/>
            <w:szCs w:val="23"/>
          </w:rPr>
          <w:t>Акта</w:t>
        </w:r>
      </w:hyperlink>
      <w:r>
        <w:rPr>
          <w:color w:val="000000" w:themeColor="text1"/>
          <w:sz w:val="23"/>
          <w:szCs w:val="23"/>
        </w:rPr>
        <w:t xml:space="preserve"> выполненных работ.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jc w:val="center"/>
        <w:outlineLvl w:val="0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 Права и обязанности Сторон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4.1. Заказчик обязан: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4.1.1. Предоставить Подрядчику Объект в течение 5 рабочих дней со дня подписания Договора Сторонами.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4.1.2. Обеспечить организацию строительного контроля в течение всего периода производства Работ.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4.1.3. Организовать приемку выполненных Работ на Объекте.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4.2. Заказчик имеет другие права и обязанности, предусмотренные действующим законодательством Российской Федерации, иными правовыми актами и настоящим Договором.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4.3. Подрядчик обязан: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4.3.1. Нести ответственность перед Заказчиком за допущенные отступления от требований, предусмотренных в технической документации и СНиП.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4.3.2.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Подрядчиком материалов.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4.3.3. 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4.3.4. 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4.3.5. Обеспечить за свой счет сохранность материалов, оборудования, стоянки строительной техники и другого имущества, необходимого для производства Работ.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4.3.6. Вывезти с рабочей площадки строительный мусор до подписания </w:t>
      </w:r>
      <w:hyperlink r:id="rId10" w:tooltip="Форма: Акт приема-передачи выполненных работ по капитальному ремонту (общая форма) (Подготовлен для системы КонсультантПлюс, 2026) {КонсультантПлюс}" w:history="1">
        <w:r>
          <w:rPr>
            <w:color w:val="000000" w:themeColor="text1"/>
            <w:sz w:val="23"/>
            <w:szCs w:val="23"/>
          </w:rPr>
          <w:t>Акта</w:t>
        </w:r>
      </w:hyperlink>
      <w:r>
        <w:rPr>
          <w:color w:val="000000" w:themeColor="text1"/>
          <w:sz w:val="23"/>
          <w:szCs w:val="23"/>
        </w:rPr>
        <w:t xml:space="preserve"> выполненных работ.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4.3.7. 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4.3.8. По первому требованию представителя Заказчика предоставлять всю необходимую информацию о ходе Работ.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4.3.9. 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</w:t>
      </w:r>
      <w:r>
        <w:rPr>
          <w:color w:val="000000" w:themeColor="text1"/>
          <w:sz w:val="23"/>
          <w:szCs w:val="23"/>
        </w:rPr>
        <w:lastRenderedPageBreak/>
        <w:t>выполнении Работ, за свой счет в согласованные с представителем Заказчика сроки.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4.4. Подрядчик имеет другие права и обязанности, предусмотренные законодательством Российской Федерации, иными правовыми актами и настоящим Договором.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jc w:val="center"/>
        <w:outlineLvl w:val="0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5. Выполнение Работ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5.1. Заказчик назначает полномочного представителя, который представляет Заказчика во взаимоотношениях с Подрядчиком и выполняет функции строительного надзора.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Полномочным представителем Заказчика является _______________________.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5.2. Подрядчик назначает в качестве своего полномочного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Полномочным представителем Подрядчика является _________________________.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5.3. Замена представителя Заказчика или Подрядчика осуществляется с обязательным письменным уведомлением об этом соответствующей Стороны.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  <w:bookmarkStart w:id="3" w:name="P79"/>
      <w:bookmarkEnd w:id="3"/>
    </w:p>
    <w:p w:rsidR="001F51DF" w:rsidRDefault="002B3402">
      <w:pPr>
        <w:pStyle w:val="ConsPlusNormal0"/>
        <w:jc w:val="center"/>
        <w:outlineLvl w:val="0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6. Сдача и приемка Объекта 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6.1. Подрядчик обязан письменно уведомить представителя Заказчика о завершении Работ по настоящему Договору и готовности Объекта к сдаче; представить представителю Заказчика счет, счет-фактуру, </w:t>
      </w:r>
      <w:hyperlink r:id="rId11" w:tooltip="Форма: Акт приема-передачи выполненных работ по капитальному ремонту (общая форма) (Подготовлен для системы КонсультантПлюс, 2026) {КонсультантПлюс}" w:history="1">
        <w:r>
          <w:rPr>
            <w:color w:val="000000" w:themeColor="text1"/>
            <w:sz w:val="23"/>
            <w:szCs w:val="23"/>
          </w:rPr>
          <w:t>Акт</w:t>
        </w:r>
      </w:hyperlink>
      <w:r>
        <w:rPr>
          <w:color w:val="000000" w:themeColor="text1"/>
          <w:sz w:val="23"/>
          <w:szCs w:val="23"/>
        </w:rPr>
        <w:t xml:space="preserve"> выполненных работ. Заказчик в течение 5 рабочих дней после получения уведомления Подрядчика организует работу по приемке Объекта.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6.2. Объект считается принятым со дня подписания Сторонами </w:t>
      </w:r>
      <w:hyperlink r:id="rId12" w:tooltip="Форма: Акт приема-передачи выполненных работ по капитальному ремонту (общая форма) (Подготовлен для системы КонсультантПлюс, 2026) {КонсультантПлюс}" w:history="1">
        <w:r>
          <w:rPr>
            <w:color w:val="000000" w:themeColor="text1"/>
            <w:sz w:val="23"/>
            <w:szCs w:val="23"/>
          </w:rPr>
          <w:t>Акта</w:t>
        </w:r>
      </w:hyperlink>
      <w:r>
        <w:rPr>
          <w:color w:val="000000" w:themeColor="text1"/>
          <w:sz w:val="23"/>
          <w:szCs w:val="23"/>
        </w:rPr>
        <w:t xml:space="preserve"> выполненных работ.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6.3. При обнаружении Заказчиком в ходе приемки Объекта недостатков в выполненной Работе составляется акт, в котором фиксируются недостатки и сроки их устранения Подрядчиком. Подрядчик обязан устранить все обнаруженные недостатки своими силами и за свой счет в сроки, указанные в акте.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6.4. Приемка Объекта в эксплуатацию производится только после выполнения всех Работ, а также после устранения всех недостатков в соответствии с </w:t>
      </w:r>
      <w:hyperlink w:anchor="P109" w:tooltip="7.4. 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 которых при установлении наступления гарантийного случая несет Подря" w:history="1">
        <w:r>
          <w:rPr>
            <w:color w:val="000000" w:themeColor="text1"/>
            <w:sz w:val="23"/>
            <w:szCs w:val="23"/>
          </w:rPr>
          <w:t>п. 6.3.</w:t>
        </w:r>
      </w:hyperlink>
      <w:r>
        <w:rPr>
          <w:color w:val="000000" w:themeColor="text1"/>
          <w:sz w:val="23"/>
          <w:szCs w:val="23"/>
        </w:rPr>
        <w:t xml:space="preserve"> настоящего Договора.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6.5. С момента подписания Акта выполненных работ Заказчик принимает на себя ответственность за сохранность Объекта и несет риск возможного его повреждения или утраты.</w:t>
      </w:r>
    </w:p>
    <w:p w:rsidR="001F51DF" w:rsidRDefault="001F51DF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jc w:val="center"/>
        <w:outlineLvl w:val="0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7. Гарантии качества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7.1. Гарантии качества распространяются на все конструктивные элементы, инженерные системы и работы, выполненные Подрядчиком по настоящему Договору.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7.2. Гарантийный срок составляет 1 год со дня подписания Акта выполненных работ, если Подрядчик не докажет, что дефекты произошли вследствие нормального износа Объекта, его частей или неправильной его эксплуатации.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7.3. При обнаружении дефектов Заказчик должен письменно известить об этом Подрядчика. </w:t>
      </w:r>
      <w:r>
        <w:rPr>
          <w:color w:val="000000" w:themeColor="text1"/>
          <w:sz w:val="23"/>
          <w:szCs w:val="23"/>
        </w:rPr>
        <w:lastRenderedPageBreak/>
        <w:t xml:space="preserve">Подрядчик направляет своего представителя не позднее 5 рабочих дней с даты получения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 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bookmarkStart w:id="4" w:name="P109"/>
      <w:bookmarkEnd w:id="4"/>
      <w:r>
        <w:rPr>
          <w:color w:val="000000" w:themeColor="text1"/>
          <w:sz w:val="23"/>
          <w:szCs w:val="23"/>
        </w:rPr>
        <w:t xml:space="preserve">7.4. 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</w:t>
      </w:r>
      <w:proofErr w:type="gramStart"/>
      <w:r>
        <w:rPr>
          <w:color w:val="000000" w:themeColor="text1"/>
          <w:sz w:val="23"/>
          <w:szCs w:val="23"/>
        </w:rPr>
        <w:t>услуг</w:t>
      </w:r>
      <w:proofErr w:type="gramEnd"/>
      <w:r>
        <w:rPr>
          <w:color w:val="000000" w:themeColor="text1"/>
          <w:sz w:val="23"/>
          <w:szCs w:val="23"/>
        </w:rPr>
        <w:t xml:space="preserve"> которых при установлении наступления гарантийного случая несет Подрядчик.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7.5. Если Подрядчик не обеспечивает устранения выявленных дефектов в установленные сроки, Заказчик вправе привлечь для выполнения этих работ другую организацию за счет Подрядчика, в том числе за счет обеспечения исполнения его обязательств по устранению выявленных дефектов в гарантийный период.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jc w:val="center"/>
        <w:outlineLvl w:val="0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8. Ответственность Сторон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8.1. Заказчик и Подрядчик несут ответственность в соответствии с законодательством Российской Федерации за ненадлежащее исполнение своих обязательств по настоящему Договору.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8.2. За нарушение сроков исполнения обязательств по Договору Заказчик вправе требовать с Подрядчика уплаты пени в размере 0,1 % от стоимости, указанной в </w:t>
      </w:r>
      <w:hyperlink w:anchor="P20" w:tooltip="1.2. Общая цена Работ по настоящему Договору составляет ____ (________) рублей, в том числе НДС _______%." w:history="1">
        <w:r>
          <w:rPr>
            <w:color w:val="000000" w:themeColor="text1"/>
            <w:sz w:val="23"/>
            <w:szCs w:val="23"/>
          </w:rPr>
          <w:t>п. 1.2</w:t>
        </w:r>
      </w:hyperlink>
      <w:r>
        <w:rPr>
          <w:color w:val="000000" w:themeColor="text1"/>
          <w:sz w:val="23"/>
          <w:szCs w:val="23"/>
        </w:rPr>
        <w:t xml:space="preserve"> настоящего Договора, за каждый день просрочки до фактического исполнения обязательств.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8.3. За нарушение сроков расчета по договору Подрядчик вправе требовать с Заказчика уплаты пени в размере 0,1 % от суммы задолженности за каждый день просрочки до фактического исполнения обязательств.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8.4. Уплата штрафа за просрочку или иное ненадлежащее исполнение обязательств по настоящему Договору, а также возмещение убытков, причиненных ненадлежащим исполнением обязательств, не освобождают Стороны от фактического исполнения обязательств по настоящему Договору.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8.5. Сторона освобождается от уплаты пени, если докажет, что просрочка исполнения обязательства произошла вследствие непреодолимой силы или по вине другой Стороны.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8.6. Подрядчик несет ответственность за вред, причиненный жизни, здоровью или имуществу третьих лиц при выполнении Работ на Объекте в порядке и на условиях, которые предусмотрены действующим законодательством Российской Федерации.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jc w:val="center"/>
        <w:outlineLvl w:val="0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9. Порядок расторжения Договора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ind w:firstLine="540"/>
        <w:jc w:val="both"/>
        <w:rPr>
          <w:color w:val="000000" w:themeColor="text1"/>
          <w:sz w:val="23"/>
          <w:szCs w:val="23"/>
        </w:rPr>
      </w:pPr>
      <w:bookmarkStart w:id="5" w:name="P132"/>
      <w:bookmarkEnd w:id="5"/>
      <w:r>
        <w:rPr>
          <w:color w:val="000000" w:themeColor="text1"/>
          <w:sz w:val="23"/>
          <w:szCs w:val="23"/>
        </w:rPr>
        <w:t>9.1. Заказчик вправе в одностороннем порядке расторгнуть настоящий Договор, потребовать возмещения причиненных убытков в случае следующих нарушений Подрядчиком условий настоящего Договора: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9.1.1. Если Подрядчик не приступил к выполнению Работ на Объекте в течение 5 рабочих дней с установленной в </w:t>
      </w:r>
      <w:hyperlink w:anchor="P41" w:tooltip="3.1. Срок начала Работ: не позднее _____ (_______) календарных (вариант: рабочих) дней с момента подписания настоящего Договора." w:history="1">
        <w:r>
          <w:rPr>
            <w:color w:val="000000" w:themeColor="text1"/>
            <w:sz w:val="23"/>
            <w:szCs w:val="23"/>
          </w:rPr>
          <w:t>п. 3.1</w:t>
        </w:r>
      </w:hyperlink>
      <w:r>
        <w:rPr>
          <w:color w:val="000000" w:themeColor="text1"/>
          <w:sz w:val="23"/>
          <w:szCs w:val="23"/>
        </w:rPr>
        <w:t xml:space="preserve"> настоящего Договора даты начала Работ.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9.1.2. В случае неоднократного нарушения Подрядчиком обязательств по настоящему Договору.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9.2. В случае принятия Заказчиком решения о расторжении настоящего Договора в соответствии с </w:t>
      </w:r>
      <w:hyperlink w:anchor="P132" w:tooltip="10.1. Заказчик вправе в одностороннем порядке расторгнуть настоящий Договор, потребовать возмещения причиненных убытков в случае следующих нарушений Подрядчиком условий настоящего Договора:" w:history="1">
        <w:r>
          <w:rPr>
            <w:color w:val="000000" w:themeColor="text1"/>
            <w:sz w:val="23"/>
            <w:szCs w:val="23"/>
          </w:rPr>
          <w:t>п. 9.1</w:t>
        </w:r>
      </w:hyperlink>
      <w:r>
        <w:rPr>
          <w:color w:val="000000" w:themeColor="text1"/>
          <w:sz w:val="23"/>
          <w:szCs w:val="23"/>
        </w:rPr>
        <w:t xml:space="preserve"> настоящего Договора Заказчик направляет Подрядчику соответствующее уведомление. Договор считается расторгнутым с момента получения Подрядчиком указанного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</w:t>
      </w:r>
      <w:r>
        <w:rPr>
          <w:color w:val="000000" w:themeColor="text1"/>
          <w:sz w:val="23"/>
          <w:szCs w:val="23"/>
        </w:rPr>
        <w:lastRenderedPageBreak/>
        <w:t>результате невыполнения Подрядчиком своих обязательств и расторжения настоящего Договора.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9.3. Если стоимость произведенных Подрядчиком Работ превышает стоимость убытков, которые понес и (или) понесет Заказчик, разница должна быть выплачена Подрядчику с учетом авансового платежа в течение 5 рабочих дней со дня расторжения настоящего Договора. 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5 рабочих дней со дня расторжения настоящего Договора.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jc w:val="center"/>
        <w:outlineLvl w:val="0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10. Разрешение споров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10.1. Спорные вопросы, возникающие в ходе исполнения настоящего Договора, разрешаются Сторонами путем переговоров.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10.2. При возникновении между Заказчиком и Подрядчиком споров по вопросу устранения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потребовавшая назначения экспертизы. В случае установления нарушений Подрядчиком условий настоящего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 если экспертиза назначена по соглашению между Сторонами, расходы несут обе Стороны поровну.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10.3. В случае невозможности урегулирования спора путем переговоров спорные вопросы передаются на рассмотрение в Арбитражный суд Новосибирской области.</w:t>
      </w:r>
    </w:p>
    <w:p w:rsidR="001F51DF" w:rsidRDefault="002B3402">
      <w:pPr>
        <w:pStyle w:val="ConsPlusNormal0"/>
        <w:jc w:val="center"/>
        <w:outlineLvl w:val="0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11. Заверения и гарантии</w:t>
      </w:r>
    </w:p>
    <w:p w:rsidR="001F51DF" w:rsidRDefault="001F51DF">
      <w:pPr>
        <w:pStyle w:val="ConsPlusNormal0"/>
        <w:jc w:val="center"/>
        <w:outlineLvl w:val="0"/>
        <w:rPr>
          <w:color w:val="000000" w:themeColor="text1"/>
          <w:sz w:val="23"/>
          <w:szCs w:val="23"/>
        </w:rPr>
      </w:pP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11.1. Каждая из Сторон заверяет, что на момент заключения настоящего договора: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 -она является юридическим лицом, надлежащим образом созданным и действующим в соответствии с законодательством РФ, и обладает необходимой правоспособностью для</w:t>
      </w:r>
      <w:r w:rsidR="00F80747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t>заключения и исполнения договора;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-у неё не отозвана (не аннулирована) лицензия, необходимая для заключения и исполнения настоящего договора, срок</w:t>
      </w:r>
      <w:r w:rsidR="00F80747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t>действия лицензии не истёк, либо хозяйственная деятельность, осуществляемая стороной, не подлежит лицензированию;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-она получила и имеет все полномочия, разрешения, одобрения, а</w:t>
      </w:r>
      <w:r w:rsidR="00F80747">
        <w:rPr>
          <w:color w:val="000000" w:themeColor="text1"/>
          <w:sz w:val="23"/>
          <w:szCs w:val="23"/>
        </w:rPr>
        <w:t xml:space="preserve"> </w:t>
      </w:r>
      <w:proofErr w:type="gramStart"/>
      <w:r>
        <w:rPr>
          <w:color w:val="000000" w:themeColor="text1"/>
          <w:sz w:val="23"/>
          <w:szCs w:val="23"/>
        </w:rPr>
        <w:t>так</w:t>
      </w:r>
      <w:r w:rsidR="00F80747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t>же</w:t>
      </w:r>
      <w:proofErr w:type="gramEnd"/>
      <w:r w:rsidR="00F80747">
        <w:rPr>
          <w:color w:val="000000" w:themeColor="text1"/>
          <w:sz w:val="23"/>
          <w:szCs w:val="23"/>
        </w:rPr>
        <w:t xml:space="preserve"> </w:t>
      </w:r>
      <w:r>
        <w:rPr>
          <w:color w:val="000000" w:themeColor="text1"/>
          <w:sz w:val="23"/>
          <w:szCs w:val="23"/>
        </w:rPr>
        <w:t>ей соблюдены все процедуры, необходимые по законодательству РФ для принятия и исполнения ею обязательств, вытекающих из настоящего договора;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-заключение настоящего договора не нарушает никаких положений и норм ее учредительных документов или действующего законодательства, правил или распоряжений, которые относятся к ней, ее  правам и обязательствам перед третьими лицами;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-в отношении неё не возбуждено производство по делу о банкротстве и не ведена ни одна из процедур, применяемых в деле о банкротстве в соответствии с действующим законодательством, а также не предпринималось и не планируется совершение корпоративных действий, связанных, либо направленных, на инициировании процедуры банкротства;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-полномочия лица на совершение настоящего договора не ограничены учредительными документами, локальными нормативно-правовыми актами Стороны или иными регулирующими её  деятельность документами по сравнению с тем, как они определены в доверенности, в законе либо как они могут считаться очевидными из обстановки, в которой совершается настоящий договор, и при его совершении такое  лицо не вышло за пределы этих ограничений и не действовало в ущерб интересам представляемой Стороны;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-заключение Стороной настоящего договора не повлечёт нарушения ей каких-либо обязательств перед третьим лицом и не даст оснований третьему лицу предъявлять к ней какие –либо требования в связи с таким нарушением;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lastRenderedPageBreak/>
        <w:t>-отсутствуют какие-либо соглашения, инструменты, договорённости, решения суда или иные ограничения, запрещающие или делающие невозможным для сторон заключение настоящего Договора и исполнение установленных им обязательств;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-обязательства, </w:t>
      </w:r>
      <w:proofErr w:type="gramStart"/>
      <w:r>
        <w:rPr>
          <w:color w:val="000000" w:themeColor="text1"/>
          <w:sz w:val="23"/>
          <w:szCs w:val="23"/>
        </w:rPr>
        <w:t>установленные  в</w:t>
      </w:r>
      <w:proofErr w:type="gramEnd"/>
      <w:r>
        <w:rPr>
          <w:color w:val="000000" w:themeColor="text1"/>
          <w:sz w:val="23"/>
          <w:szCs w:val="23"/>
        </w:rPr>
        <w:t xml:space="preserve"> настоящем договоре, являются для сторон действительными,  законными и обязательными для исполнения, а в случае  неисполнения могут быть исполнены в принудительном порядке;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-вся информация и документы, предоставленные  ей другой стороне в связи с заключением Договора, являются достоверными, и она не скрыла обязательств, которые могли бы, при их  обнаружении, негативно повлиять на решение другой Стороны, касающееся заключения настоящего договора.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11.2.  Стороны в порядке статьи 431.2 ГК РФ заверяют друг друга в том, что они являются добросовестными налогоплательщиками и исполняют свои налоговые обязательства перед бюджетом в полном объёма, при этом не используют никаких схем для уклонения от уплаты налогов, не являются фирмами-однодневками, не вступают в хозяйственно-договорные отношения с фирмами-однодневками. В случае недостоверности данных заверений, Стороны несут ответственность в порядке статьи 431.2 ГК РФ.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Подрядчик в силу статьи 406.1 ГК РФ обязуется возместить имущественные потери Заказчика, возникшие в случае наступления любого из следующих обстоятельств: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- доначисление Заказчику НДС, начисление пени по НДС, привлечение к ответственности в виде штрафа по НДС и/или отказа в возмещении НДС из бюджета по причине исключения налоговым органом налоговых вычетов по НДС, исчисленных (полученных) Заказчиком в результате исполнения настоящего договора;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- доначисление Заказчику налога на прибыль, начисление пени по налогу на прибыль, привлечение к ответственности в виде штрафа по налогу на прибыль по причине исключения налоговым органом расходов, понесённых Заказчиком в результате исполнения настоящего договора.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Условия настоящего пункта применяются в случае, если указанные выше обстоятельства возникли в связи с недобросовестным поведением Подрядчика и/или нарушений им требований действующего законодательства РФ (непредставление Подрядчиком отчётности в налоговые органы; признание налоговыми органами Подрядчика «фирмой-однодневкой»; отсутствие результатов встречной налоговой проверки Подрядчика и т.д.).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Размер имущественных потерь определяется как общая сумма, состоящая из суммы НДС и/или налога на прибыль, до начисленных Заказчику, суммы пени, штрафа по НДС и/или по налогу на прибыль, начисленных Заказчику, либо как сумма НДС, в возмещении которой Заказчику отказано по основаниям, указанным в данном пункте настоящего договора.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Размер имущественных потерь определяется на дату вступления в силу решений налогового органа о привлечении к налоговой ответственности и/или решения об отказе в возмещении налога из бюджета.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Обязанность по возмещению имущественных потерь возникает у Подрядчика в момент вступления в силу указанных решений налогового органа. Возмещение имущественных потерь осуществляется по письменному требованию Заказчика. Подрядчик обязан в течение 5 рабочих дней с даты получения требования уплатить сумму возмещения потерь Заказчику в полном объёме.</w:t>
      </w:r>
    </w:p>
    <w:p w:rsidR="001F51DF" w:rsidRDefault="002B3402">
      <w:pPr>
        <w:widowControl w:val="0"/>
        <w:shd w:val="clear" w:color="auto" w:fill="FFFFFF"/>
        <w:tabs>
          <w:tab w:val="left" w:pos="0"/>
        </w:tabs>
        <w:ind w:right="142" w:firstLine="567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11.3. Если какое-либо из указанных в настоящем разделе заверений оказалось изначально недействительным или стало недействительным в течение срока действия настоящего договора, то другая сторона («Не нарушившая сторона») имеет право расторгнуть настоящий договор в одностороннем внесудебном порядке и потребовать от «Нарушившей стороны» возмещения убытков, вызванных таким расторжением. Стороны признают, что при заключении настоящего договора они полагались на заверения и гарантии, содержащиеся в настоящем разделе, достоверность которых имеет существенное значение для Сторон.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jc w:val="center"/>
        <w:outlineLvl w:val="0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12. Заключительные условия</w:t>
      </w:r>
    </w:p>
    <w:p w:rsidR="001F51DF" w:rsidRDefault="001F51DF">
      <w:pPr>
        <w:pStyle w:val="ConsPlusNormal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12.1. Все изменения к настоящему Договору считаются действительными, если они оформлены в письменном виде и подписаны Сторонами.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lastRenderedPageBreak/>
        <w:t>12.2. 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12.3. Договор считается заключенным с момента его подписания обеими Сторонами и действует до полного исполнения Сторонами своих обязательств.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12.4. Договор составлен в двух экземплярах, имеющих равную юридическую силу, по одному для каждой из Сторон.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12.5. Приложение:</w:t>
      </w:r>
    </w:p>
    <w:p w:rsidR="001F51DF" w:rsidRDefault="002B3402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 xml:space="preserve">12.5.1. </w:t>
      </w:r>
      <w:hyperlink r:id="rId13" w:tooltip="Форма: Техническое задание (приложение к договору подряда на выполнение работ по ремонту крыши (кровли)) (Подготовлен для системы КонсультантПлюс, 2026) {КонсультантПлюс}" w:history="1">
        <w:r>
          <w:rPr>
            <w:color w:val="000000" w:themeColor="text1"/>
            <w:sz w:val="23"/>
            <w:szCs w:val="23"/>
          </w:rPr>
          <w:t>Техническое задание</w:t>
        </w:r>
      </w:hyperlink>
      <w:r>
        <w:rPr>
          <w:color w:val="000000" w:themeColor="text1"/>
          <w:sz w:val="23"/>
          <w:szCs w:val="23"/>
        </w:rPr>
        <w:t xml:space="preserve"> (Приложение N 1).</w:t>
      </w:r>
    </w:p>
    <w:p w:rsidR="001F51DF" w:rsidRDefault="001F51DF">
      <w:pPr>
        <w:pStyle w:val="ConsPlusNormal0"/>
        <w:spacing w:before="240"/>
        <w:ind w:firstLine="540"/>
        <w:jc w:val="both"/>
        <w:rPr>
          <w:color w:val="000000" w:themeColor="text1"/>
          <w:sz w:val="23"/>
          <w:szCs w:val="23"/>
        </w:rPr>
      </w:pPr>
    </w:p>
    <w:p w:rsidR="001F51DF" w:rsidRDefault="002B3402">
      <w:pPr>
        <w:pStyle w:val="ConsPlusNormal0"/>
        <w:jc w:val="center"/>
        <w:outlineLvl w:val="0"/>
        <w:rPr>
          <w:color w:val="000000" w:themeColor="text1"/>
          <w:sz w:val="23"/>
          <w:szCs w:val="23"/>
        </w:rPr>
      </w:pPr>
      <w:r>
        <w:rPr>
          <w:color w:val="000000" w:themeColor="text1"/>
          <w:sz w:val="23"/>
          <w:szCs w:val="23"/>
        </w:rPr>
        <w:t>13. Адреса, реквизиты и подписи Сторон</w:t>
      </w:r>
    </w:p>
    <w:tbl>
      <w:tblPr>
        <w:tblW w:w="95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4443"/>
      </w:tblGrid>
      <w:tr w:rsidR="001F51DF">
        <w:tc>
          <w:tcPr>
            <w:tcW w:w="510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F51DF" w:rsidRDefault="001F51DF">
            <w:pPr>
              <w:pStyle w:val="210"/>
              <w:tabs>
                <w:tab w:val="left" w:pos="1276"/>
              </w:tabs>
              <w:ind w:hanging="32"/>
              <w:jc w:val="lef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</w:p>
          <w:p w:rsidR="001F51DF" w:rsidRDefault="002B3402">
            <w:pPr>
              <w:pStyle w:val="210"/>
              <w:tabs>
                <w:tab w:val="left" w:pos="1276"/>
              </w:tabs>
              <w:ind w:hanging="32"/>
              <w:jc w:val="lef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ЗАКАЗЧИК:</w:t>
            </w:r>
          </w:p>
          <w:p w:rsidR="001F51DF" w:rsidRDefault="001F51DF">
            <w:pPr>
              <w:rPr>
                <w:color w:val="000000" w:themeColor="text1"/>
                <w:sz w:val="23"/>
                <w:szCs w:val="23"/>
              </w:rPr>
            </w:pPr>
          </w:p>
          <w:p w:rsidR="001F51DF" w:rsidRDefault="002B3402">
            <w:pPr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ООО «СИБЭЛС»</w:t>
            </w:r>
          </w:p>
          <w:p w:rsidR="001F51DF" w:rsidRDefault="002B3402">
            <w:pPr>
              <w:pStyle w:val="13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3"/>
                <w:szCs w:val="23"/>
                <w:lang w:val="ru-RU"/>
              </w:rPr>
              <w:t>Юридический адрес: 630001, г. Новосибирск, ул. Сухарная, 96/2</w:t>
            </w:r>
          </w:p>
          <w:p w:rsidR="001F51DF" w:rsidRDefault="002B3402">
            <w:pPr>
              <w:pStyle w:val="13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3"/>
                <w:szCs w:val="23"/>
                <w:lang w:val="ru-RU"/>
              </w:rPr>
              <w:t>ИНН 5402046893</w:t>
            </w:r>
          </w:p>
          <w:p w:rsidR="001F51DF" w:rsidRDefault="002B3402">
            <w:pPr>
              <w:pStyle w:val="13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3"/>
                <w:szCs w:val="23"/>
                <w:lang w:val="ru-RU"/>
              </w:rPr>
              <w:t>КПП 540201001</w:t>
            </w:r>
          </w:p>
          <w:p w:rsidR="001F51DF" w:rsidRDefault="002B3402">
            <w:pPr>
              <w:pStyle w:val="13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3"/>
                <w:szCs w:val="23"/>
                <w:lang w:val="ru-RU"/>
              </w:rPr>
              <w:t>ОРГН 1185476082428</w:t>
            </w:r>
          </w:p>
          <w:p w:rsidR="001F51DF" w:rsidRDefault="002B3402">
            <w:pPr>
              <w:pStyle w:val="13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3"/>
                <w:szCs w:val="23"/>
                <w:lang w:val="ru-RU"/>
              </w:rPr>
              <w:t xml:space="preserve">Банковские реквизиты: </w:t>
            </w:r>
          </w:p>
          <w:p w:rsidR="001F51DF" w:rsidRDefault="002B3402">
            <w:pPr>
              <w:pStyle w:val="13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3"/>
                <w:szCs w:val="23"/>
                <w:lang w:val="ru-RU"/>
              </w:rPr>
              <w:t>Филиал «НОВОСИБИРСКИЙ» АО «Альфа-Банк» г. Новосибирск</w:t>
            </w:r>
          </w:p>
          <w:p w:rsidR="001F51DF" w:rsidRDefault="002B3402">
            <w:pPr>
              <w:pStyle w:val="13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3"/>
                <w:szCs w:val="23"/>
                <w:lang w:val="ru-RU"/>
              </w:rPr>
              <w:t>р/с 40702810423000005802</w:t>
            </w:r>
          </w:p>
          <w:p w:rsidR="001F51DF" w:rsidRDefault="002B3402">
            <w:pPr>
              <w:pStyle w:val="13"/>
              <w:jc w:val="left"/>
              <w:rPr>
                <w:rFonts w:ascii="Times New Roman" w:hAnsi="Times New Roman" w:cs="Times New Roman"/>
                <w:b w:val="0"/>
                <w:color w:val="000000" w:themeColor="text1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3"/>
                <w:szCs w:val="23"/>
                <w:lang w:val="ru-RU"/>
              </w:rPr>
              <w:t>БИК 045004774</w:t>
            </w:r>
          </w:p>
          <w:p w:rsidR="001F51DF" w:rsidRDefault="002B3402">
            <w:pPr>
              <w:tabs>
                <w:tab w:val="left" w:pos="1276"/>
              </w:tabs>
              <w:ind w:right="-58"/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к/с 30101810600000000774</w:t>
            </w:r>
          </w:p>
          <w:p w:rsidR="001F51DF" w:rsidRDefault="001F51DF">
            <w:pPr>
              <w:tabs>
                <w:tab w:val="left" w:pos="1276"/>
              </w:tabs>
              <w:ind w:right="-58"/>
              <w:rPr>
                <w:b/>
                <w:color w:val="000000" w:themeColor="text1"/>
                <w:sz w:val="23"/>
                <w:szCs w:val="23"/>
              </w:rPr>
            </w:pPr>
          </w:p>
          <w:p w:rsidR="001F51DF" w:rsidRDefault="001F51DF">
            <w:pPr>
              <w:tabs>
                <w:tab w:val="left" w:pos="1276"/>
              </w:tabs>
              <w:ind w:right="-58"/>
              <w:rPr>
                <w:b/>
                <w:color w:val="000000" w:themeColor="text1"/>
                <w:sz w:val="23"/>
                <w:szCs w:val="23"/>
              </w:rPr>
            </w:pPr>
          </w:p>
          <w:p w:rsidR="001F51DF" w:rsidRDefault="002B3402">
            <w:pPr>
              <w:tabs>
                <w:tab w:val="left" w:pos="1276"/>
              </w:tabs>
              <w:ind w:right="-58"/>
              <w:rPr>
                <w:b/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 xml:space="preserve">Генеральный директор </w:t>
            </w:r>
          </w:p>
          <w:p w:rsidR="001F51DF" w:rsidRDefault="001F51DF">
            <w:pPr>
              <w:tabs>
                <w:tab w:val="left" w:pos="1276"/>
              </w:tabs>
              <w:ind w:right="-58"/>
              <w:rPr>
                <w:b/>
                <w:color w:val="000000" w:themeColor="text1"/>
                <w:sz w:val="23"/>
                <w:szCs w:val="23"/>
              </w:rPr>
            </w:pPr>
          </w:p>
          <w:p w:rsidR="001F51DF" w:rsidRDefault="001F51DF">
            <w:pPr>
              <w:tabs>
                <w:tab w:val="left" w:pos="1276"/>
              </w:tabs>
              <w:rPr>
                <w:b/>
                <w:color w:val="000000" w:themeColor="text1"/>
                <w:sz w:val="23"/>
                <w:szCs w:val="23"/>
              </w:rPr>
            </w:pPr>
          </w:p>
          <w:p w:rsidR="001F51DF" w:rsidRDefault="002B3402">
            <w:pPr>
              <w:tabs>
                <w:tab w:val="left" w:pos="1276"/>
              </w:tabs>
              <w:rPr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__________________ /Д.Р. Геворкова</w:t>
            </w:r>
          </w:p>
        </w:tc>
        <w:tc>
          <w:tcPr>
            <w:tcW w:w="444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1F51DF" w:rsidRDefault="001F51DF">
            <w:pPr>
              <w:pStyle w:val="ConsPlusNormal0"/>
              <w:rPr>
                <w:b/>
                <w:color w:val="000000" w:themeColor="text1"/>
                <w:sz w:val="23"/>
                <w:szCs w:val="23"/>
              </w:rPr>
            </w:pPr>
          </w:p>
          <w:p w:rsidR="001F51DF" w:rsidRDefault="002B3402">
            <w:pPr>
              <w:pStyle w:val="ConsPlusNormal0"/>
              <w:rPr>
                <w:b/>
                <w:color w:val="000000" w:themeColor="text1"/>
                <w:sz w:val="23"/>
                <w:szCs w:val="23"/>
              </w:rPr>
            </w:pPr>
            <w:r>
              <w:rPr>
                <w:b/>
                <w:color w:val="000000" w:themeColor="text1"/>
                <w:sz w:val="23"/>
                <w:szCs w:val="23"/>
              </w:rPr>
              <w:t>ПОДРЯДЧИК:</w:t>
            </w: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1F51DF">
            <w:pPr>
              <w:rPr>
                <w:color w:val="000000" w:themeColor="text1"/>
                <w:sz w:val="23"/>
                <w:szCs w:val="23"/>
                <w:lang w:eastAsia="en-US"/>
              </w:rPr>
            </w:pPr>
          </w:p>
          <w:p w:rsidR="001F51DF" w:rsidRDefault="002B3402">
            <w:pPr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  <w:lang w:eastAsia="en-US"/>
              </w:rPr>
              <w:t>__________________ /_______________/</w:t>
            </w:r>
          </w:p>
        </w:tc>
      </w:tr>
    </w:tbl>
    <w:p w:rsidR="001F51DF" w:rsidRDefault="001F51DF">
      <w:pPr>
        <w:pStyle w:val="ConsPlusNormal0"/>
        <w:jc w:val="center"/>
        <w:outlineLvl w:val="0"/>
        <w:rPr>
          <w:color w:val="000000" w:themeColor="text1"/>
          <w:sz w:val="23"/>
          <w:szCs w:val="23"/>
        </w:rPr>
      </w:pPr>
    </w:p>
    <w:p w:rsidR="001F51DF" w:rsidRDefault="001F51DF">
      <w:pPr>
        <w:pStyle w:val="ConsPlusNormal0"/>
        <w:jc w:val="center"/>
        <w:outlineLvl w:val="0"/>
      </w:pPr>
    </w:p>
    <w:sectPr w:rsidR="001F51DF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851" w:right="566" w:bottom="851" w:left="1133" w:header="0" w:footer="97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0F1D" w:rsidRDefault="006D0F1D">
      <w:r>
        <w:separator/>
      </w:r>
    </w:p>
  </w:endnote>
  <w:endnote w:type="continuationSeparator" w:id="0">
    <w:p w:rsidR="006D0F1D" w:rsidRDefault="006D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2B3402">
    <w:pPr>
      <w:pStyle w:val="ConsPlusNormal0"/>
    </w:pPr>
    <w:r>
      <w:rPr>
        <w:sz w:val="2"/>
        <w:szCs w:val="2"/>
      </w:rPr>
      <w:t>1</w:t>
    </w:r>
    <w:r>
      <w:rPr>
        <w:sz w:val="23"/>
        <w:szCs w:val="23"/>
      </w:rPr>
      <w:t>_________________Заказчик                                                                   _________________Подрядчик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1F51DF">
    <w:pPr>
      <w:pStyle w:val="ConsPlusNormal0"/>
      <w:rPr>
        <w:sz w:val="2"/>
        <w:szCs w:val="2"/>
      </w:rPr>
    </w:pPr>
  </w:p>
  <w:p w:rsidR="001F51DF" w:rsidRDefault="002B3402">
    <w:pPr>
      <w:pStyle w:val="ConsPlusNormal0"/>
    </w:pPr>
    <w:r>
      <w:rPr>
        <w:sz w:val="2"/>
        <w:szCs w:val="2"/>
      </w:rPr>
      <w:t>1</w:t>
    </w:r>
    <w:r>
      <w:rPr>
        <w:sz w:val="23"/>
        <w:szCs w:val="23"/>
      </w:rPr>
      <w:t>_________________Заказчик                                                                   _________________Подрядчик</w:t>
    </w:r>
  </w:p>
  <w:p w:rsidR="001F51DF" w:rsidRDefault="001F51DF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0F1D" w:rsidRDefault="006D0F1D">
      <w:r>
        <w:separator/>
      </w:r>
    </w:p>
  </w:footnote>
  <w:footnote w:type="continuationSeparator" w:id="0">
    <w:p w:rsidR="006D0F1D" w:rsidRDefault="006D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86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0178"/>
    </w:tblGrid>
    <w:tr w:rsidR="001F51DF">
      <w:trPr>
        <w:trHeight w:hRule="exact" w:val="988"/>
      </w:trPr>
      <w:tc>
        <w:tcPr>
          <w:tcW w:w="5000" w:type="pct"/>
          <w:vAlign w:val="center"/>
        </w:tcPr>
        <w:p w:rsidR="001F51DF" w:rsidRDefault="002B3402">
          <w:pPr>
            <w:pStyle w:val="ConsPlusNormal0"/>
            <w:jc w:val="right"/>
            <w:rPr>
              <w:sz w:val="23"/>
              <w:szCs w:val="23"/>
            </w:rPr>
          </w:pPr>
          <w:r>
            <w:rPr>
              <w:sz w:val="23"/>
              <w:szCs w:val="23"/>
            </w:rPr>
            <w:tab/>
            <w:t xml:space="preserve">                  Страница </w:t>
          </w:r>
          <w:r>
            <w:rPr>
              <w:sz w:val="23"/>
              <w:szCs w:val="23"/>
            </w:rPr>
            <w:fldChar w:fldCharType="begin"/>
          </w:r>
          <w:r>
            <w:rPr>
              <w:sz w:val="23"/>
              <w:szCs w:val="23"/>
            </w:rPr>
            <w:instrText>PAGE</w:instrText>
          </w:r>
          <w:r>
            <w:rPr>
              <w:sz w:val="23"/>
              <w:szCs w:val="23"/>
            </w:rPr>
            <w:fldChar w:fldCharType="separate"/>
          </w:r>
          <w:r>
            <w:rPr>
              <w:sz w:val="23"/>
              <w:szCs w:val="23"/>
            </w:rPr>
            <w:t>5</w:t>
          </w:r>
          <w:r>
            <w:rPr>
              <w:sz w:val="23"/>
              <w:szCs w:val="23"/>
            </w:rPr>
            <w:fldChar w:fldCharType="end"/>
          </w:r>
          <w:r>
            <w:rPr>
              <w:sz w:val="23"/>
              <w:szCs w:val="23"/>
            </w:rPr>
            <w:t xml:space="preserve"> из </w:t>
          </w:r>
          <w:r>
            <w:rPr>
              <w:sz w:val="23"/>
              <w:szCs w:val="23"/>
            </w:rPr>
            <w:fldChar w:fldCharType="begin"/>
          </w:r>
          <w:r>
            <w:rPr>
              <w:sz w:val="23"/>
              <w:szCs w:val="23"/>
            </w:rPr>
            <w:instrText>NUMPAGES</w:instrText>
          </w:r>
          <w:r>
            <w:rPr>
              <w:sz w:val="23"/>
              <w:szCs w:val="23"/>
            </w:rPr>
            <w:fldChar w:fldCharType="separate"/>
          </w:r>
          <w:r>
            <w:rPr>
              <w:sz w:val="23"/>
              <w:szCs w:val="23"/>
            </w:rPr>
            <w:t>5</w:t>
          </w:r>
          <w:r>
            <w:rPr>
              <w:sz w:val="23"/>
              <w:szCs w:val="23"/>
            </w:rPr>
            <w:fldChar w:fldCharType="end"/>
          </w:r>
        </w:p>
      </w:tc>
    </w:tr>
  </w:tbl>
  <w:p w:rsidR="001F51DF" w:rsidRDefault="001F51DF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986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0178"/>
    </w:tblGrid>
    <w:tr w:rsidR="001F51DF">
      <w:trPr>
        <w:trHeight w:hRule="exact" w:val="988"/>
      </w:trPr>
      <w:tc>
        <w:tcPr>
          <w:tcW w:w="5000" w:type="pct"/>
          <w:vAlign w:val="center"/>
        </w:tcPr>
        <w:p w:rsidR="001F51DF" w:rsidRDefault="002B3402">
          <w:pPr>
            <w:pStyle w:val="ConsPlusNormal0"/>
            <w:jc w:val="right"/>
          </w:pPr>
          <w:r>
            <w:rPr>
              <w:sz w:val="2"/>
              <w:szCs w:val="2"/>
            </w:rPr>
            <w:tab/>
          </w:r>
          <w:r>
            <w:t xml:space="preserve">                  Страница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t xml:space="preserve"> из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5</w:t>
          </w:r>
          <w:r>
            <w:fldChar w:fldCharType="end"/>
          </w:r>
        </w:p>
      </w:tc>
    </w:tr>
  </w:tbl>
  <w:p w:rsidR="001F51DF" w:rsidRDefault="001F51DF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2C2017"/>
    <w:multiLevelType w:val="hybridMultilevel"/>
    <w:tmpl w:val="A1304164"/>
    <w:lvl w:ilvl="0" w:tplc="E33C37E6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 w:tplc="BF1E7584">
      <w:start w:val="1"/>
      <w:numFmt w:val="decimal"/>
      <w:lvlText w:val=""/>
      <w:lvlJc w:val="left"/>
    </w:lvl>
    <w:lvl w:ilvl="2" w:tplc="E0AEECA4">
      <w:start w:val="1"/>
      <w:numFmt w:val="decimal"/>
      <w:lvlText w:val=""/>
      <w:lvlJc w:val="left"/>
    </w:lvl>
    <w:lvl w:ilvl="3" w:tplc="1098DF5C">
      <w:start w:val="1"/>
      <w:numFmt w:val="decimal"/>
      <w:lvlText w:val=""/>
      <w:lvlJc w:val="left"/>
    </w:lvl>
    <w:lvl w:ilvl="4" w:tplc="8B6C412A">
      <w:start w:val="1"/>
      <w:numFmt w:val="decimal"/>
      <w:lvlText w:val=""/>
      <w:lvlJc w:val="left"/>
    </w:lvl>
    <w:lvl w:ilvl="5" w:tplc="4758773A">
      <w:start w:val="1"/>
      <w:numFmt w:val="decimal"/>
      <w:lvlText w:val=""/>
      <w:lvlJc w:val="left"/>
    </w:lvl>
    <w:lvl w:ilvl="6" w:tplc="4F4C6C26">
      <w:start w:val="1"/>
      <w:numFmt w:val="decimal"/>
      <w:lvlText w:val=""/>
      <w:lvlJc w:val="left"/>
    </w:lvl>
    <w:lvl w:ilvl="7" w:tplc="450650C6">
      <w:start w:val="1"/>
      <w:numFmt w:val="decimal"/>
      <w:lvlText w:val=""/>
      <w:lvlJc w:val="left"/>
    </w:lvl>
    <w:lvl w:ilvl="8" w:tplc="3A8C6BFC">
      <w:start w:val="1"/>
      <w:numFmt w:val="decimal"/>
      <w:lvlText w:val=""/>
      <w:lvlJc w:val="left"/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1DF"/>
    <w:rsid w:val="001F51DF"/>
    <w:rsid w:val="002B3402"/>
    <w:rsid w:val="006D0F1D"/>
    <w:rsid w:val="00A00682"/>
    <w:rsid w:val="00F8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E3C5C"/>
  <w15:docId w15:val="{59F8F174-1200-4F03-8FA6-C3B683F9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472C4" w:themeColor="accent1"/>
      <w:sz w:val="18"/>
      <w:szCs w:val="18"/>
    </w:rPr>
  </w:style>
  <w:style w:type="table" w:styleId="a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Liberation Sans" w:hAnsi="Liberation Sans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</w:style>
  <w:style w:type="paragraph" w:customStyle="1" w:styleId="ConsPlusNormal">
    <w:name w:val="ConsPlusNormal"/>
    <w:pPr>
      <w:widowControl w:val="0"/>
    </w:pPr>
    <w:rPr>
      <w:sz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JurTerm0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sz w:val="24"/>
    </w:rPr>
  </w:style>
  <w:style w:type="paragraph" w:customStyle="1" w:styleId="ConsPlusTextList0">
    <w:name w:val="ConsPlusTextList"/>
    <w:pPr>
      <w:widowControl w:val="0"/>
    </w:pPr>
    <w:rPr>
      <w:sz w:val="24"/>
    </w:rPr>
  </w:style>
  <w:style w:type="paragraph" w:customStyle="1" w:styleId="ConsPlusNormal0">
    <w:name w:val="ConsPlusNormal"/>
    <w:pPr>
      <w:widowControl w:val="0"/>
    </w:pPr>
    <w:rPr>
      <w:sz w:val="24"/>
    </w:rPr>
  </w:style>
  <w:style w:type="paragraph" w:customStyle="1" w:styleId="ConsPlusNonformat0">
    <w:name w:val="ConsPlusNonformat"/>
    <w:pPr>
      <w:widowControl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</w:pPr>
    <w:rPr>
      <w:rFonts w:ascii="Tahoma" w:hAnsi="Tahoma" w:cs="Tahoma"/>
    </w:rPr>
  </w:style>
  <w:style w:type="paragraph" w:customStyle="1" w:styleId="ConsPlusJurTerm1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JurTerm2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</w:pPr>
    <w:rPr>
      <w:sz w:val="24"/>
    </w:rPr>
  </w:style>
  <w:style w:type="paragraph" w:customStyle="1" w:styleId="ConsPlusTextList2">
    <w:name w:val="ConsPlusTextList"/>
    <w:pPr>
      <w:widowControl w:val="0"/>
    </w:pPr>
    <w:rPr>
      <w:sz w:val="24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</w:style>
  <w:style w:type="paragraph" w:customStyle="1" w:styleId="210">
    <w:name w:val="Заголовок 21"/>
    <w:basedOn w:val="a"/>
    <w:next w:val="a"/>
    <w:qFormat/>
    <w:pPr>
      <w:keepNext/>
      <w:jc w:val="center"/>
      <w:outlineLvl w:val="1"/>
    </w:pPr>
    <w:rPr>
      <w:rFonts w:asciiTheme="minorHAnsi" w:eastAsiaTheme="minorEastAsia" w:hAnsiTheme="minorHAnsi" w:cstheme="minorBidi"/>
      <w:b/>
      <w:sz w:val="36"/>
    </w:rPr>
  </w:style>
  <w:style w:type="paragraph" w:customStyle="1" w:styleId="13">
    <w:name w:val="Название1"/>
    <w:basedOn w:val="a"/>
    <w:link w:val="afb"/>
    <w:qFormat/>
    <w:pPr>
      <w:jc w:val="center"/>
    </w:pPr>
    <w:rPr>
      <w:rFonts w:asciiTheme="minorHAnsi" w:eastAsiaTheme="minorEastAsia" w:hAnsiTheme="minorHAnsi" w:cstheme="minorBidi"/>
      <w:b/>
      <w:sz w:val="24"/>
      <w:lang w:val="en-US" w:eastAsia="en-US"/>
    </w:rPr>
  </w:style>
  <w:style w:type="character" w:customStyle="1" w:styleId="afb">
    <w:name w:val="Название Знак"/>
    <w:link w:val="13"/>
    <w:rPr>
      <w:rFonts w:asciiTheme="minorHAnsi" w:eastAsiaTheme="minorEastAsia" w:hAnsiTheme="minorHAnsi" w:cstheme="minorBidi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PAP&amp;n=9916&amp;date=02.09.2026" TargetMode="External"/><Relationship Id="rId13" Type="http://schemas.openxmlformats.org/officeDocument/2006/relationships/hyperlink" Target="https://login.consultant.ru/link/?req=doc&amp;base=PAP&amp;n=31208&amp;date=02.09.2026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PAP&amp;n=31208&amp;date=02.09.2026" TargetMode="External"/><Relationship Id="rId12" Type="http://schemas.openxmlformats.org/officeDocument/2006/relationships/hyperlink" Target="https://login.consultant.ru/link/?req=doc&amp;base=PAP&amp;n=9916&amp;date=02.09.2026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PAP&amp;n=9916&amp;date=02.09.2026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PAP&amp;n=9916&amp;date=02.09.2026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PAP&amp;n=9916&amp;date=02.09.202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3317</Words>
  <Characters>18910</Characters>
  <Application>Microsoft Office Word</Application>
  <DocSecurity>0</DocSecurity>
  <Lines>157</Lines>
  <Paragraphs>44</Paragraphs>
  <ScaleCrop>false</ScaleCrop>
  <Company>КонсультантПлюс Версия 4025.00.50</Company>
  <LinksUpToDate>false</LinksUpToDate>
  <CharactersWithSpaces>22183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Форма: Договор подряда на выполнение работ по капитальному ремонту кровли
(Подготовлен для системы КонсультантПлюс, 2026)</dc:title>
  <dc:creator>Александр Роландович Геворков</dc:creator>
  <cp:lastModifiedBy>Пользователь</cp:lastModifiedBy>
  <cp:revision>5</cp:revision>
  <dcterms:created xsi:type="dcterms:W3CDTF">2026-09-02T03:41:00Z</dcterms:created>
  <dcterms:modified xsi:type="dcterms:W3CDTF">2026-09-04T03:07:00Z</dcterms:modified>
</cp:coreProperties>
</file>